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both"/>
        <w:rPr>
          <w:rFonts w:ascii="Arial" w:hAnsi="Arial"/>
        </w:rPr>
      </w:pPr>
      <w:r>
        <w:rPr>
          <w:rFonts w:ascii="Arial" w:hAnsi="Arial"/>
          <w:sz w:val="20"/>
          <w:szCs w:val="20"/>
        </w:rPr>
        <w:t>Numer postępowania: ZP.272.</w:t>
      </w:r>
      <w:r>
        <w:rPr>
          <w:rFonts w:ascii="Arial" w:hAnsi="Arial"/>
          <w:sz w:val="20"/>
          <w:szCs w:val="20"/>
        </w:rPr>
        <w:t>11</w:t>
      </w:r>
      <w:r>
        <w:rPr>
          <w:rFonts w:ascii="Arial" w:hAnsi="Arial"/>
          <w:sz w:val="20"/>
          <w:szCs w:val="20"/>
        </w:rPr>
        <w:t>.2026</w:t>
        <w:tab/>
        <w:tab/>
        <w:tab/>
        <w:tab/>
        <w:tab/>
        <w:tab/>
        <w:tab/>
      </w:r>
      <w:r>
        <w:rPr>
          <w:rFonts w:ascii="Arial" w:hAnsi="Arial"/>
          <w:b/>
          <w:bCs/>
          <w:sz w:val="20"/>
          <w:szCs w:val="20"/>
        </w:rPr>
        <w:t>Załącznik nr 1a do SWZ</w:t>
      </w:r>
    </w:p>
    <w:p>
      <w:pPr>
        <w:pStyle w:val="Normal"/>
        <w:jc w:val="center"/>
        <w:rPr>
          <w:rFonts w:ascii="Arial" w:hAnsi="Arial" w:cs="Times New Roman"/>
          <w:b/>
          <w:iCs/>
          <w:sz w:val="24"/>
          <w:szCs w:val="24"/>
        </w:rPr>
      </w:pPr>
      <w:r>
        <w:rPr>
          <w:rFonts w:cs="Times New Roman" w:ascii="Arial" w:hAnsi="Arial"/>
          <w:b/>
          <w:iCs/>
          <w:sz w:val="24"/>
          <w:szCs w:val="24"/>
        </w:rPr>
        <w:t xml:space="preserve">  </w:t>
      </w:r>
      <w:r>
        <w:rPr>
          <w:rFonts w:cs="Times New Roman" w:ascii="Arial" w:hAnsi="Arial"/>
          <w:b/>
          <w:iCs/>
          <w:sz w:val="24"/>
          <w:szCs w:val="24"/>
        </w:rPr>
        <w:t>Opis przedmiotu zamówienia</w:t>
      </w:r>
    </w:p>
    <w:p>
      <w:pPr>
        <w:pStyle w:val="Normal"/>
        <w:tabs>
          <w:tab w:val="clear" w:pos="708"/>
          <w:tab w:val="left" w:pos="10206" w:leader="none"/>
        </w:tabs>
        <w:ind w:right="143"/>
        <w:jc w:val="both"/>
        <w:rPr>
          <w:rFonts w:ascii="Arial" w:hAnsi="Arial"/>
        </w:rPr>
      </w:pPr>
      <w:r>
        <w:rPr>
          <w:rFonts w:ascii="Arial" w:hAnsi="Arial"/>
          <w:bCs/>
          <w:sz w:val="20"/>
          <w:szCs w:val="20"/>
        </w:rPr>
        <w:t>Przedmiotem zamówienia jest zakup i dostawa fabrycznie nowego, 9-osobowego mikrobusu (kategoria prawa jazdy B), przystosowanego do przewozu osób z niepełnosprawnościami, w tym co najmniej jednej osoby poruszającej się na wózku inwalidzkim</w:t>
      </w:r>
      <w:r>
        <w:rPr>
          <w:rFonts w:ascii="Arial" w:hAnsi="Arial"/>
          <w:bCs/>
          <w:color w:val="000000"/>
          <w:sz w:val="20"/>
          <w:szCs w:val="20"/>
        </w:rPr>
        <w:t>,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>w ramach „</w:t>
      </w:r>
      <w:r>
        <w:rPr>
          <w:rFonts w:ascii="Arial" w:hAnsi="Arial"/>
          <w:bCs/>
          <w:i/>
          <w:sz w:val="20"/>
          <w:szCs w:val="20"/>
        </w:rPr>
        <w:t>Programu Wyrównywania Różnic Między Regionami III</w:t>
      </w:r>
      <w:r>
        <w:rPr>
          <w:rFonts w:ascii="Arial" w:hAnsi="Arial"/>
          <w:bCs/>
          <w:sz w:val="20"/>
          <w:szCs w:val="20"/>
        </w:rPr>
        <w:t>”                    w obszarze D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color w:val="000000"/>
          <w:sz w:val="22"/>
          <w:szCs w:val="22"/>
        </w:rPr>
        <w:t xml:space="preserve">Część 1 -  </w:t>
      </w:r>
      <w:r>
        <w:rPr>
          <w:rFonts w:ascii="Arial" w:hAnsi="Arial"/>
          <w:b/>
          <w:bCs/>
          <w:color w:val="000000"/>
          <w:sz w:val="22"/>
          <w:szCs w:val="22"/>
        </w:rPr>
        <w:t>Zakup mikrobusu 9-osobowego przystosowanego do przewozu osób                                       z niepełnosprawnościami na rzecz Specjalnego Ośrodka Szkolno-Wychowawczego dla Niepełnosprawnych Ruchowo w Busku-Zdroju.</w:t>
      </w:r>
    </w:p>
    <w:tbl>
      <w:tblPr>
        <w:tblW w:w="9527" w:type="dxa"/>
        <w:jc w:val="left"/>
        <w:tblInd w:w="2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35"/>
        <w:gridCol w:w="7292"/>
      </w:tblGrid>
      <w:tr>
        <w:trPr>
          <w:trHeight w:val="495" w:hRule="atLeast"/>
        </w:trPr>
        <w:tc>
          <w:tcPr>
            <w:tcW w:w="9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before="0" w:after="160"/>
              <w:ind w:right="3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000000"/>
                <w:kern w:val="2"/>
                <w:sz w:val="20"/>
                <w:szCs w:val="20"/>
                <w:lang w:eastAsia="zh-CN" w:bidi="hi-IN"/>
              </w:rPr>
              <w:t>OFEROWANY POJAZD</w:t>
            </w:r>
          </w:p>
        </w:tc>
      </w:tr>
      <w:tr>
        <w:trPr>
          <w:trHeight w:val="247" w:hRule="atLeast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before="0" w:after="160"/>
              <w:ind w:right="36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"/>
                <w:sz w:val="20"/>
                <w:szCs w:val="20"/>
                <w:lang w:eastAsia="zh-CN" w:bidi="hi-IN"/>
              </w:rPr>
              <w:t>TYP</w:t>
            </w:r>
          </w:p>
        </w:tc>
        <w:tc>
          <w:tcPr>
            <w:tcW w:w="7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before="0" w:after="160"/>
              <w:ind w:right="360"/>
              <w:rPr>
                <w:rFonts w:ascii="Arial" w:hAnsi="Arial"/>
                <w:b/>
                <w:color w:val="0000FF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rial" w:hAnsi="Arial"/>
                <w:b/>
                <w:color w:val="0000FF"/>
                <w:kern w:val="2"/>
                <w:sz w:val="20"/>
                <w:szCs w:val="20"/>
                <w:lang w:eastAsia="zh-CN" w:bidi="hi-IN"/>
              </w:rPr>
            </w:r>
          </w:p>
        </w:tc>
      </w:tr>
      <w:tr>
        <w:trPr>
          <w:trHeight w:val="247" w:hRule="atLeast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before="0" w:after="160"/>
              <w:ind w:right="36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"/>
                <w:sz w:val="20"/>
                <w:szCs w:val="20"/>
                <w:lang w:eastAsia="zh-CN" w:bidi="hi-IN"/>
              </w:rPr>
              <w:t>MODEL</w:t>
            </w:r>
          </w:p>
        </w:tc>
        <w:tc>
          <w:tcPr>
            <w:tcW w:w="7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before="0" w:after="160"/>
              <w:ind w:right="360"/>
              <w:rPr>
                <w:rFonts w:ascii="Arial" w:hAnsi="Arial"/>
                <w:b/>
                <w:color w:val="0000FF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rial" w:hAnsi="Arial"/>
                <w:b/>
                <w:color w:val="0000FF"/>
                <w:kern w:val="2"/>
                <w:sz w:val="20"/>
                <w:szCs w:val="20"/>
                <w:lang w:eastAsia="zh-CN" w:bidi="hi-IN"/>
              </w:rPr>
            </w:r>
          </w:p>
        </w:tc>
      </w:tr>
      <w:tr>
        <w:trPr>
          <w:trHeight w:val="247" w:hRule="atLeast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before="0" w:after="160"/>
              <w:ind w:right="36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"/>
                <w:sz w:val="20"/>
                <w:szCs w:val="20"/>
                <w:lang w:eastAsia="zh-CN" w:bidi="hi-IN"/>
              </w:rPr>
              <w:t>PRODUCENT</w:t>
            </w:r>
          </w:p>
        </w:tc>
        <w:tc>
          <w:tcPr>
            <w:tcW w:w="7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before="0" w:after="160"/>
              <w:ind w:right="360"/>
              <w:rPr>
                <w:rFonts w:ascii="Arial" w:hAnsi="Arial"/>
                <w:b/>
                <w:color w:val="0000FF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rial" w:hAnsi="Arial"/>
                <w:b/>
                <w:color w:val="0000FF"/>
                <w:kern w:val="2"/>
                <w:sz w:val="20"/>
                <w:szCs w:val="20"/>
                <w:lang w:eastAsia="zh-CN" w:bidi="hi-IN"/>
              </w:rPr>
            </w:r>
            <w:bookmarkStart w:id="0" w:name="_GoBack"/>
            <w:bookmarkStart w:id="1" w:name="_GoBack"/>
            <w:bookmarkEnd w:id="1"/>
          </w:p>
        </w:tc>
      </w:tr>
    </w:tbl>
    <w:p>
      <w:pPr>
        <w:pStyle w:val="Normal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tbl>
      <w:tblPr>
        <w:tblW w:w="991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71"/>
        <w:gridCol w:w="8322"/>
        <w:gridCol w:w="1026"/>
      </w:tblGrid>
      <w:tr>
        <w:trPr>
          <w:trHeight w:val="565" w:hRule="atLeas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160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Warunki bezwzględnie wymagane przez Zamawiającego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160"/>
              <w:rPr>
                <w:rFonts w:ascii="Arial" w:hAnsi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TAK NIE</w:t>
            </w:r>
            <w:r>
              <w:rPr>
                <w:rFonts w:cs="Arial" w:ascii="Arial" w:hAnsi="Arial"/>
                <w:b/>
                <w:color w:val="FF4000"/>
                <w:position w:val="0"/>
                <w:sz w:val="18"/>
                <w:sz w:val="18"/>
                <w:szCs w:val="18"/>
                <w:vertAlign w:val="baseline"/>
              </w:rPr>
              <w:t>*</w:t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Samochód osobowy przystosowany do przewozu osób niepełnosprawnych, fabrycznie nowy, przystosowany do ruchu prawostronnego (kierownica po lewej stronie), rok produkcji 2026,  z homologacją.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spacing w:before="0" w:after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>
          <w:trHeight w:val="1184" w:hRule="atLeas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2868" w:leader="none"/>
              </w:tabs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Samochód zapewniający możliwość jednoczesnego przewożenia 9 osób wraz                        z kierowcą w pozycji siedzącej i w konfiguracji: kierowca, przewóz 1 osoby niepełnosprawnej na wózku inwalidzkim i 5 - 7 osób na siedzeniach - fabryczna zabudowa. Samochód do prowadzenia przez osobę posiadającą prawo jazdy kat. B.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2868" w:leader="none"/>
              </w:tabs>
              <w:spacing w:before="0" w:after="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1135" w:hRule="atLeas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2868" w:leader="none"/>
              </w:tabs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Samochód dostosowany do przewozu osoby niepełnosprawnej na wózku: wysuwane szyny najazdowe, blokada wózka inwalidzkiego zapewniająca stabilną i bezpieczną pozycję w czasie jazdy osoby siedzącej na wózku inwalidzkim oraz wózka.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Silnik diesel o mocy  min. 130 KM max 180KM. Wersja silnika – norma emisji spalin EURO 6.</w:t>
            </w:r>
          </w:p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Pojemność skokowa  silnika min. 1800 cm³ max 2000 cm³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Dopuszczalna masa całkowita pojazdu od 2850 kg do 3500 kg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Całkowita długość pojazdu min. 4900 mm max 6000 mm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spacing w:before="0" w:after="160"/>
              <w:ind w:hanging="283" w:left="317"/>
              <w:contextualSpacing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Drzwi boczne przednie ( w części kierowca + 2 miejsca)  – przeszklone, otwierane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spacing w:before="0" w:after="160"/>
              <w:ind w:hanging="0" w:left="0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spacing w:before="0" w:after="160"/>
              <w:ind w:hanging="283" w:left="317"/>
              <w:contextualSpacing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Drzwi tylne (prawe i lewe), przeszkolone, otwierane na boki  ( pod kątem  180º)  – zapewniające komfort wprowadzania wózka inwalidzkiego z jego użytkownikiem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spacing w:before="0" w:after="160"/>
              <w:ind w:hanging="0" w:left="144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spacing w:before="0" w:after="160"/>
              <w:ind w:hanging="317" w:left="317"/>
              <w:contextualSpacing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Drzwi boczne prawe, przesuwne do tyłu, przeszkolone, ze stopniem zewnętrznym, manualnie wysuwanym/wsuwanym, niezależnie od otwierania/zamykania drzwi</w:t>
              <w:br/>
              <w:t>lub</w:t>
              <w:br/>
              <w:t>Drzwi boczne prawe, przesuwne do tyłu, przeszklone, wyposażone w stały stopień wejściowy ułatwiający wsiadanie, dostępny po otwarciu drzwi.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before="0"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spacing w:before="0" w:after="160"/>
              <w:ind w:hanging="283" w:left="317"/>
              <w:contextualSpacing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Elektryczna blokada drzwi przesuwnych.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9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Szyby tylne i tylne boczne :</w:t>
            </w:r>
          </w:p>
        </w:tc>
      </w:tr>
      <w:tr>
        <w:trPr/>
        <w:tc>
          <w:tcPr>
            <w:tcW w:w="5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spacing w:before="0" w:after="160"/>
              <w:ind w:hanging="0" w:left="144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Wszystkie drzwi z szybami , w tym:</w:t>
            </w:r>
          </w:p>
          <w:p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szyby w części przedniej ( kierowca i pasażer) otwierane elektrycznie</w:t>
            </w:r>
          </w:p>
          <w:p>
            <w:pPr>
              <w:pStyle w:val="ListParagraph"/>
              <w:numPr>
                <w:ilvl w:val="0"/>
                <w:numId w:val="5"/>
              </w:numPr>
              <w:spacing w:before="0" w:after="160"/>
              <w:contextualSpacing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pozostałe przeszklenia szybami stałymi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spacing w:before="0" w:after="160"/>
              <w:ind w:hanging="0" w:left="144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spacing w:before="0" w:after="160"/>
              <w:contextualSpacing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Pozostałe ściany samochodu – przeszklone szybami stałymi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spacing w:before="0" w:after="160"/>
              <w:ind w:hanging="0" w:left="144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spacing w:before="0" w:after="160"/>
              <w:contextualSpacing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Szyby tylne i tylne boczne fabrycznie przyciemnione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spacing w:before="0" w:after="160"/>
              <w:ind w:hanging="0" w:left="144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spacing w:before="0" w:after="160"/>
              <w:contextualSpacing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Tylna szyba podgrzewana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Podsufitka  wyłożona wykładziną materiałową.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Kolor:</w:t>
            </w:r>
          </w:p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Lakier metalizowany preferowany srebrny, szarosrebrny  lub inny do uzgodnienia                         z Zamawiającym. Wyłączone kolory czerwony, żółty - jaskrawe.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Oświetlenie sufitowe kabiny i przedziału pasażerskiego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pacing w:before="0" w:after="160"/>
              <w:contextualSpacing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Fotel dla kierowcy z regulacją pochylenia oparcia i wysokości siedzenia, z przodu dla pasażerów  ławka/fotel  dla 2-ch  osób.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pacing w:before="0" w:after="160"/>
              <w:contextualSpacing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Drugi rząd w przestrzeni pasażerskiej kanapa 3-osobowa/3 fotele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pacing w:before="0" w:after="160"/>
              <w:contextualSpacing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Trzeci rząd w przestrzeni pasażerskiej kanapa 3 - osobowa lub kanapa 2-osobowa            i pojedynczy fotel lub 3 pojedyncze fotele - z  możliwością szybkiego demontażu          3-ego rzędu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ind w:hanging="0" w:left="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Wszystkie miejsca siedzące zaopatrzone w bezwładnościowe pasy bezpieczeństwa trzypunktowe z napinaczami. Zagłówki przy fotelach.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ind w:hanging="0" w:left="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Siedzenia tapicerowane szarą lub w ciemniejszej tonacji tapicerką z tkaniny, ostateczna kolorystyka do uzgodnienia z Zamawiającym.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Podłoga pokryta tworzywem sztucznym.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Ogrzewanie kabiny kierowcy i pasażerów</w:t>
            </w:r>
          </w:p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Klimatyzacja z automatyczną regulacją temperatury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Poduszki powietrzne kierowcy i pasażerów w kabinie pasażera.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Czujniki parkowania przód / tył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Kamera cofania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Tempomat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Asystent utrzymania pasa ruchu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System rozpoznawania znaków drogowych lub znaków ograniczenia prędkości.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color w:val="EE0000"/>
                <w:sz w:val="20"/>
                <w:szCs w:val="20"/>
              </w:rPr>
            </w:pPr>
            <w:r>
              <w:rPr>
                <w:rFonts w:cs="Arial" w:ascii="Arial" w:hAnsi="Arial"/>
                <w:color w:val="EE0000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Skrzynia biegów manualna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Opony zimowe na felgach stalowych - komplet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Opony letnie na felgach aluminiowych  - komplet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Wspomaganie układu kierowniczego.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Wspomaganie układu hamulcowego.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System kontroli jazdy: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103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System ABS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103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System eCall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103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System wykrywania zmęczenia u kierowcy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103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Sygnalizator niezapiętych pasów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103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System wspomagania nagłego hamowania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103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System stabilizacji toru jazdy ESP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103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Czujnik ciśnienia w oponach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before="0" w:after="160"/>
              <w:ind w:left="4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Wycieraczka tylnej szyby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Podgrzewane boczne lusterka, sterowane elektrycznie.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543" w:hRule="atLeas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System audio Bluetooth, radioodtwarzacz wraz z min. 4 głośnikami.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Światła przeciwmgielne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Czujnik światła i deszczu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Światła do jazdy dziennej LED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Lusterko wsteczne wewnętrzne.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Apteczka samochodowa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Pełnowymiarowe koło zapasowe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Zestaw narzędzi fabrycznych i podnośnik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Gaśnica minimum 2 kg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Immobiliser.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Centralny zamek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573" w:hRule="atLeas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Gwarancja na silnik i podzespoły oraz powłokę lakierniczą (min. 24 m-ce ) i perforację elementów nadwozia (min. 60 m-cy)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kern w:val="0"/>
                <w:sz w:val="20"/>
                <w:szCs w:val="20"/>
                <w:lang w:eastAsia="pl-PL"/>
              </w:rPr>
              <w:t>Samochód powinien posiadać komplet dokumentów do zarejestrowania zgodnie z przepisami obowiązującymi na terenie Polski, na zasadach dopuszczenia do ruchu (w tym: faktura sprzedaży, przegląd – badanie techniczne oraz badanie stacji diagnostycznej potwierdzające, że po adaptacji samochód przystosowany jest do przewozu osób niepełnosprawnych) zgodnie z wymogami przepisów ustawy prawo ruchu drogowym.</w:t>
            </w:r>
          </w:p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kern w:val="0"/>
                <w:sz w:val="20"/>
                <w:szCs w:val="20"/>
                <w:lang w:eastAsia="pl-PL"/>
              </w:rPr>
              <w:t>Ponadto wykonawca zobowiązany jest do przedstawienia aktualnego certyfikatu systemu ISO obejmujący zakres zabudowy i modyfikacji pojazdu dla osób niepełnosprawnych.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kern w:val="0"/>
                <w:sz w:val="20"/>
                <w:szCs w:val="20"/>
                <w:lang w:eastAsia="pl-PL"/>
              </w:rPr>
              <w:t>Pojazd musi posiadać świadectwo homologacji jako samochód osobowy przeznaczony do przewozu osób niepełnosprawnych oraz osób niepełnosprawnych na wózkach inwalidzkich (świadectwa należy dostarczyć wraz z samochodem), wydane przez ustawowo uprawniony organ.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70" w:hRule="atLeas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ind w:hanging="532" w:left="177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Do Dostawa samochodu do siedziby Zamawiającego zatankowanego do pełna paliwem.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573" w:hRule="atLeas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ind w:hanging="247" w:left="-108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W  Dywaniki gumowe dla I , II, III rzędu siedzeń 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70" w:hRule="atLeas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ind w:hanging="247" w:left="-108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    </w:t>
            </w:r>
            <w:r>
              <w:rPr>
                <w:rFonts w:cs="Arial" w:ascii="Arial" w:hAnsi="Arial"/>
                <w:sz w:val="20"/>
                <w:szCs w:val="20"/>
              </w:rPr>
              <w:t>Chlapacze kół  przednie i tylne.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70" w:hRule="atLeas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ind w:hanging="247" w:left="-108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    </w:t>
            </w:r>
            <w:r>
              <w:rPr>
                <w:rFonts w:cs="Arial" w:ascii="Arial" w:hAnsi="Arial"/>
                <w:sz w:val="20"/>
                <w:szCs w:val="20"/>
              </w:rPr>
              <w:t>Oznakowanie z przodu i z tyłu pojazdu symbolem „inwalidzi”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Arial" w:hAnsi="Arial" w:cs="Arial"/>
          <w:b/>
          <w:color w:val="EE0000"/>
          <w:sz w:val="20"/>
          <w:szCs w:val="20"/>
        </w:rPr>
      </w:pPr>
      <w:r>
        <w:rPr>
          <w:rFonts w:cs="Arial" w:ascii="Arial" w:hAnsi="Arial"/>
          <w:b/>
          <w:color w:val="EE0000"/>
          <w:sz w:val="20"/>
          <w:szCs w:val="20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b/>
          <w:color w:val="EE0000"/>
          <w:sz w:val="20"/>
          <w:szCs w:val="20"/>
        </w:rPr>
        <w:t xml:space="preserve">* należy wpisać </w:t>
      </w:r>
      <w:r>
        <w:rPr>
          <w:rFonts w:cs="Arial" w:ascii="Arial" w:hAnsi="Arial"/>
          <w:b/>
          <w:color w:val="EE0000"/>
          <w:sz w:val="24"/>
          <w:szCs w:val="24"/>
        </w:rPr>
        <w:t>TAK lub NIE</w:t>
      </w:r>
    </w:p>
    <w:p>
      <w:pPr>
        <w:pStyle w:val="Normal"/>
        <w:rPr>
          <w:rFonts w:ascii="Arial" w:hAnsi="Arial" w:cs="Arial"/>
          <w:b/>
          <w:color w:val="EE0000"/>
          <w:sz w:val="20"/>
          <w:szCs w:val="20"/>
        </w:rPr>
      </w:pPr>
      <w:r>
        <w:rPr>
          <w:rFonts w:cs="Arial" w:ascii="Arial" w:hAnsi="Arial"/>
          <w:b/>
          <w:color w:val="EE0000"/>
          <w:sz w:val="20"/>
          <w:szCs w:val="20"/>
        </w:rPr>
      </w:r>
    </w:p>
    <w:p>
      <w:pPr>
        <w:pStyle w:val="Normal"/>
        <w:spacing w:lineRule="auto" w:line="276"/>
        <w:ind w:hanging="4253" w:left="4253"/>
        <w:jc w:val="right"/>
        <w:rPr>
          <w:rFonts w:ascii="Arial" w:hAnsi="Arial" w:cs="Arial"/>
          <w:b/>
          <w:i/>
          <w:i/>
          <w:color w:val="FF0000"/>
          <w:sz w:val="18"/>
          <w:szCs w:val="18"/>
        </w:rPr>
      </w:pPr>
      <w:r>
        <w:rPr>
          <w:rFonts w:cs="Arial" w:ascii="Arial" w:hAnsi="Arial"/>
          <w:b/>
          <w:i/>
          <w:color w:val="FF0000"/>
          <w:sz w:val="18"/>
          <w:szCs w:val="18"/>
        </w:rPr>
      </w:r>
    </w:p>
    <w:p>
      <w:pPr>
        <w:pStyle w:val="Normal"/>
        <w:spacing w:lineRule="auto" w:line="276"/>
        <w:ind w:hanging="4253" w:left="4253"/>
        <w:jc w:val="right"/>
        <w:rPr>
          <w:rFonts w:ascii="Arial" w:hAnsi="Arial" w:cs="Arial"/>
          <w:b/>
          <w:i/>
          <w:i/>
          <w:color w:val="FF0000"/>
          <w:sz w:val="18"/>
          <w:szCs w:val="18"/>
        </w:rPr>
      </w:pPr>
      <w:r>
        <w:rPr>
          <w:rFonts w:cs="Arial" w:ascii="Arial" w:hAnsi="Arial"/>
          <w:b/>
          <w:i/>
          <w:color w:val="FF0000"/>
          <w:sz w:val="18"/>
          <w:szCs w:val="18"/>
        </w:rPr>
      </w:r>
    </w:p>
    <w:p>
      <w:pPr>
        <w:pStyle w:val="Normal"/>
        <w:spacing w:lineRule="auto" w:line="276"/>
        <w:ind w:hanging="4253" w:left="4253"/>
        <w:jc w:val="right"/>
        <w:rPr>
          <w:rFonts w:ascii="Arial" w:hAnsi="Arial" w:cs="Arial"/>
          <w:b/>
          <w:i/>
          <w:i/>
          <w:color w:val="FF0000"/>
          <w:sz w:val="18"/>
          <w:szCs w:val="18"/>
        </w:rPr>
      </w:pPr>
      <w:r>
        <w:rPr>
          <w:rFonts w:cs="Arial" w:ascii="Arial" w:hAnsi="Arial"/>
          <w:b/>
          <w:i/>
          <w:color w:val="FF0000"/>
          <w:sz w:val="18"/>
          <w:szCs w:val="18"/>
        </w:rPr>
      </w:r>
    </w:p>
    <w:p>
      <w:pPr>
        <w:pStyle w:val="Normal"/>
        <w:spacing w:lineRule="auto" w:line="276"/>
        <w:ind w:hanging="4253" w:left="4253"/>
        <w:jc w:val="right"/>
        <w:rPr>
          <w:rFonts w:ascii="Arial" w:hAnsi="Arial" w:cs="Arial"/>
          <w:b/>
          <w:i/>
          <w:i/>
          <w:color w:val="FF0000"/>
          <w:sz w:val="18"/>
          <w:szCs w:val="18"/>
        </w:rPr>
      </w:pPr>
      <w:r>
        <w:rPr>
          <w:rFonts w:cs="Arial" w:ascii="Arial" w:hAnsi="Arial"/>
          <w:b/>
          <w:i/>
          <w:color w:val="FF0000"/>
          <w:sz w:val="18"/>
          <w:szCs w:val="18"/>
        </w:rPr>
      </w:r>
    </w:p>
    <w:p>
      <w:pPr>
        <w:pStyle w:val="Normal"/>
        <w:spacing w:lineRule="auto" w:line="276"/>
        <w:ind w:hanging="4253" w:left="4253"/>
        <w:jc w:val="right"/>
        <w:rPr>
          <w:rFonts w:ascii="Arial" w:hAnsi="Arial" w:cs="Arial"/>
          <w:b/>
          <w:i/>
          <w:i/>
          <w:color w:val="FF0000"/>
          <w:sz w:val="18"/>
          <w:szCs w:val="18"/>
        </w:rPr>
      </w:pPr>
      <w:r>
        <w:rPr>
          <w:rFonts w:cs="Arial" w:ascii="Arial" w:hAnsi="Arial"/>
          <w:b/>
          <w:i/>
          <w:color w:val="FF0000"/>
          <w:sz w:val="18"/>
          <w:szCs w:val="18"/>
        </w:rPr>
        <w:t>Dokument należy podpisać  kwalifikowanym podpisem elektronicznym</w:t>
      </w:r>
    </w:p>
    <w:p>
      <w:pPr>
        <w:pStyle w:val="Normal"/>
        <w:spacing w:lineRule="auto" w:line="276"/>
        <w:ind w:hanging="4253" w:left="4253"/>
        <w:jc w:val="right"/>
        <w:rPr>
          <w:rFonts w:ascii="Arial" w:hAnsi="Arial"/>
        </w:rPr>
      </w:pPr>
      <w:r>
        <w:rPr>
          <w:rFonts w:cs="Arial" w:ascii="Arial" w:hAnsi="Arial"/>
          <w:b/>
          <w:i/>
          <w:color w:val="FF0000"/>
          <w:sz w:val="18"/>
          <w:szCs w:val="18"/>
        </w:rPr>
        <w:t xml:space="preserve"> </w:t>
      </w:r>
      <w:r>
        <w:rPr>
          <w:rFonts w:cs="Arial" w:ascii="Arial" w:hAnsi="Arial"/>
          <w:b/>
          <w:i/>
          <w:color w:val="FF0000"/>
          <w:sz w:val="18"/>
          <w:szCs w:val="18"/>
        </w:rPr>
        <w:t>lub podpisem zaufanym lub elektronicznym podpisem osobistym</w:t>
      </w:r>
    </w:p>
    <w:p>
      <w:pPr>
        <w:pStyle w:val="ListBullet"/>
        <w:spacing w:lineRule="auto" w:line="276"/>
        <w:ind w:hanging="1276" w:left="1276" w:right="284"/>
        <w:jc w:val="both"/>
        <w:rPr>
          <w:rFonts w:ascii="Arial" w:hAnsi="Arial"/>
          <w:b/>
          <w:color w:val="000000"/>
          <w:szCs w:val="24"/>
        </w:rPr>
      </w:pPr>
      <w:r>
        <w:rPr>
          <w:rFonts w:ascii="Arial" w:hAnsi="Arial"/>
          <w:b/>
          <w:color w:val="000000"/>
          <w:szCs w:val="24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0" w:gutter="0" w:header="708" w:top="765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ambria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Arial" w:hAnsi="Arial"/>
      </w:rPr>
    </w:pPr>
    <w:r>
      <w:rPr>
        <w:rFonts w:ascii="Arial" w:hAnsi="Arial"/>
      </w:rPr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2406650</wp:posOffset>
          </wp:positionH>
          <wp:positionV relativeFrom="paragraph">
            <wp:posOffset>-398780</wp:posOffset>
          </wp:positionV>
          <wp:extent cx="1325880" cy="756285"/>
          <wp:effectExtent l="0" t="0" r="0" b="0"/>
          <wp:wrapSquare wrapText="largest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2588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</w:r>
  </w:p>
  <w:p>
    <w:pPr>
      <w:pStyle w:val="Head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ab/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Arial" w:hAnsi="Arial"/>
      </w:rPr>
    </w:pPr>
    <w:r>
      <w:rPr>
        <w:rFonts w:ascii="Arial" w:hAnsi="Arial"/>
      </w:rPr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2406650</wp:posOffset>
          </wp:positionH>
          <wp:positionV relativeFrom="paragraph">
            <wp:posOffset>-398780</wp:posOffset>
          </wp:positionV>
          <wp:extent cx="1325880" cy="756285"/>
          <wp:effectExtent l="0" t="0" r="0" b="0"/>
          <wp:wrapSquare wrapText="largest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2588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</w:r>
  </w:p>
  <w:p>
    <w:pPr>
      <w:pStyle w:val="Head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ab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9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1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3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5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7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9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1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3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52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right"/>
      <w:pPr>
        <w:tabs>
          <w:tab w:val="num" w:pos="0"/>
        </w:tabs>
        <w:ind w:left="927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84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a73aa1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a73aa1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a73aa1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a73aa1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a73aa1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a73aa1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a73aa1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a73aa1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a73aa1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a73aa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a73aa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a73aa1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a73aa1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a73aa1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a73aa1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a73aa1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a73aa1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a73aa1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a73aa1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a73aa1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a73aa1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a73aa1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a73aa1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a73aa1"/>
    <w:rPr>
      <w:b/>
      <w:bCs/>
      <w:smallCaps/>
      <w:color w:themeColor="accent1" w:themeShade="bf" w:val="0F4761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8612f1"/>
    <w:rPr/>
  </w:style>
  <w:style w:type="character" w:styleId="StopkaZnak" w:customStyle="1">
    <w:name w:val="Stopka Znak"/>
    <w:basedOn w:val="DefaultParagraphFont"/>
    <w:uiPriority w:val="99"/>
    <w:qFormat/>
    <w:rsid w:val="008612f1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Normal"/>
    <w:link w:val="TytuZnak"/>
    <w:uiPriority w:val="10"/>
    <w:qFormat/>
    <w:rsid w:val="00a73aa1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a73aa1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a73aa1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a73aa1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a73a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8612f1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8612f1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Bullet">
    <w:name w:val="List Bullet"/>
    <w:basedOn w:val="Normal"/>
    <w:unhideWhenUsed/>
    <w:rsid w:val="008612f1"/>
    <w:pPr>
      <w:spacing w:lineRule="auto" w:line="240" w:before="0" w:after="0"/>
      <w:ind w:hanging="283" w:left="283"/>
    </w:pPr>
    <w:rPr>
      <w:rFonts w:ascii="Times New Roman" w:hAnsi="Times New Roman" w:eastAsia="Times New Roman" w:cs="Times New Roman"/>
      <w:kern w:val="0"/>
      <w:sz w:val="24"/>
      <w:szCs w:val="20"/>
      <w:lang w:eastAsia="pl-PL"/>
      <w14:ligatures w14:val="none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7d61d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5BD4D-CBB9-4DCF-B672-7A732BF77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Application>LibreOffice/25.8.1.1$Windows_X86_64 LibreOffice_project/54047653041915e595ad4e45cccea684809c77b5</Application>
  <AppVersion>15.0000</AppVersion>
  <Pages>4</Pages>
  <Words>834</Words>
  <Characters>5252</Characters>
  <CharactersWithSpaces>6103</CharactersWithSpaces>
  <Paragraphs>134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2025-06-18T10:32:00Z</dcterms:created>
  <dc:creator>Magorzata Zamroźniak</dc:creator>
  <dc:description/>
  <dc:language>pl-PL</dc:language>
  <cp:lastModifiedBy/>
  <cp:lastPrinted>2025-07-02T05:35:00Z</cp:lastPrinted>
  <dcterms:modified xsi:type="dcterms:W3CDTF">2026-08-11T16:25:51Z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